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Practical Activity 6.1 DTIDEA Unit 4 - Delivering training for effective route planning and fault-finding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Student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Assessor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Practical Activity 6.1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Learning Outcome -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Demonstrate the levels of driver instruction and how this can have positive or negative effects on the learner driver.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 During the In-Car Training Session:</w:t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with a PDI what level of instruction is, guided/talked through, prompted and independent, and how they would use different levels of instruction in-car.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Demonstrate on the move in-car, one at a time, three different faults to a PDI, including under instruction, over instruction and correct level.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 and feedback with the PDI after each level of instruction to see if the PDI has noticed which level of instruction was being used.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discussion and demonstration must include how the trainer would transfer their knowledge and understanding to a PDI.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rHeight w:val="7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candidates must pass all the performance criteria.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trainers need to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mention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at the beginning of the session the different level of instruction and how they would use the different levels of instruction in-car: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Mention at the beginning of the session what level of instruction is and how to use it.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Guided/talked through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Prompted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Independent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Beginner, partly trained, trained, FLH, new and experienced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Introducing a new subject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Students' ability is increasing.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can complete tasks independently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struggle when the task gets harder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Students' abilities change, so the instruction level is adjusted to match the students' abilities.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Demonstration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different levels of instruction - 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3)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the car and every other road user safe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Feedback for each of the three levels of instruction 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3)</w:t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9" w:lineRule="auto"/>
        <w:ind w:left="0" w:right="-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9" w:lineRule="auto"/>
        <w:ind w:left="720" w:right="-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  <w:t xml:space="preserve">© Innovative Driving Education Academy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